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A3" w:rsidRDefault="001F5F0B" w:rsidP="00FA0CA3">
      <w:pPr>
        <w:jc w:val="center"/>
        <w:rPr>
          <w:b/>
          <w:sz w:val="32"/>
        </w:rPr>
      </w:pPr>
      <w:r w:rsidRPr="00FA0CA3">
        <w:rPr>
          <w:b/>
          <w:sz w:val="32"/>
        </w:rPr>
        <w:t>Photographic Analysis Lesson Plan</w:t>
      </w:r>
      <w:r w:rsidR="00FA0CA3">
        <w:rPr>
          <w:b/>
          <w:sz w:val="32"/>
        </w:rPr>
        <w:t xml:space="preserve"> </w:t>
      </w:r>
    </w:p>
    <w:p w:rsidR="00FA0CA3" w:rsidRPr="00FA0CA3" w:rsidRDefault="00FA0CA3" w:rsidP="00FA0CA3">
      <w:pPr>
        <w:jc w:val="center"/>
        <w:rPr>
          <w:b/>
          <w:sz w:val="32"/>
        </w:rPr>
      </w:pPr>
      <w:r w:rsidRPr="00FA0CA3">
        <w:rPr>
          <w:b/>
          <w:sz w:val="32"/>
        </w:rPr>
        <w:t>1946 Iron Miners</w:t>
      </w:r>
      <w:r>
        <w:rPr>
          <w:b/>
          <w:sz w:val="32"/>
        </w:rPr>
        <w:t>’</w:t>
      </w:r>
      <w:r w:rsidRPr="00FA0CA3">
        <w:rPr>
          <w:b/>
          <w:sz w:val="32"/>
        </w:rPr>
        <w:t xml:space="preserve"> Strike on the Marquette Iron Range</w:t>
      </w:r>
    </w:p>
    <w:p w:rsidR="0032533A" w:rsidRDefault="0032533A" w:rsidP="0032533A">
      <w:bookmarkStart w:id="0" w:name="_GoBack"/>
      <w:bookmarkEnd w:id="0"/>
    </w:p>
    <w:p w:rsidR="00E11108" w:rsidRPr="00E11108" w:rsidRDefault="00E11108" w:rsidP="00E11108">
      <w:pPr>
        <w:pStyle w:val="ListParagraph"/>
        <w:numPr>
          <w:ilvl w:val="0"/>
          <w:numId w:val="2"/>
        </w:numPr>
        <w:rPr>
          <w:u w:val="single"/>
        </w:rPr>
      </w:pPr>
      <w:r w:rsidRPr="00E11108">
        <w:rPr>
          <w:u w:val="single"/>
        </w:rPr>
        <w:t>Introduction</w:t>
      </w:r>
    </w:p>
    <w:p w:rsidR="00E11108" w:rsidRDefault="00E11108" w:rsidP="00E11108">
      <w:r w:rsidRPr="00E11108">
        <w:t>Students will conduct an analysis of photographs documenting the 1946 Iron Miners Strike on the Marquette Iron Range. The photographs are part of the United Steelworkers of America Local 4950 records at the Central Upper Peninsula and NMU Archives.</w:t>
      </w:r>
    </w:p>
    <w:p w:rsidR="0032533A" w:rsidRDefault="0032533A" w:rsidP="0032533A">
      <w:pPr>
        <w:pStyle w:val="ListParagraph"/>
        <w:numPr>
          <w:ilvl w:val="0"/>
          <w:numId w:val="2"/>
        </w:numPr>
      </w:pPr>
      <w:r w:rsidRPr="00DB7B23">
        <w:rPr>
          <w:u w:val="single"/>
        </w:rPr>
        <w:t>Primary Source Learning Objectives</w:t>
      </w:r>
      <w:r>
        <w:t xml:space="preserve"> (SAA </w:t>
      </w:r>
      <w:hyperlink r:id="rId7" w:history="1">
        <w:r w:rsidRPr="00791B96">
          <w:rPr>
            <w:rStyle w:val="Hyperlink"/>
            <w:i/>
          </w:rPr>
          <w:t>Guidelines for Primary Source Literacy</w:t>
        </w:r>
      </w:hyperlink>
      <w:r>
        <w:t>):</w:t>
      </w:r>
    </w:p>
    <w:p w:rsidR="0032533A" w:rsidRPr="006F51D1" w:rsidRDefault="0032533A" w:rsidP="0032533A">
      <w:pPr>
        <w:pStyle w:val="ListParagraph"/>
        <w:rPr>
          <w:sz w:val="28"/>
        </w:rPr>
      </w:pPr>
    </w:p>
    <w:p w:rsidR="0032533A" w:rsidRPr="006F51D1" w:rsidRDefault="0032533A" w:rsidP="0032533A">
      <w:pPr>
        <w:pStyle w:val="ListParagraph"/>
        <w:widowControl w:val="0"/>
        <w:numPr>
          <w:ilvl w:val="1"/>
          <w:numId w:val="2"/>
        </w:numPr>
        <w:tabs>
          <w:tab w:val="left" w:pos="821"/>
        </w:tabs>
        <w:autoSpaceDE w:val="0"/>
        <w:autoSpaceDN w:val="0"/>
        <w:spacing w:before="38" w:after="0" w:line="276" w:lineRule="auto"/>
        <w:ind w:right="409"/>
        <w:contextualSpacing w:val="0"/>
        <w:rPr>
          <w:sz w:val="28"/>
        </w:rPr>
      </w:pPr>
      <w:r w:rsidRPr="006F51D1">
        <w:t>Assess the appropriateness of a primary source for meeting the goals of a specific research or creative project.</w:t>
      </w:r>
    </w:p>
    <w:p w:rsidR="0032533A" w:rsidRPr="006F51D1" w:rsidRDefault="0032533A" w:rsidP="0032533A">
      <w:pPr>
        <w:pStyle w:val="ListParagraph"/>
        <w:widowControl w:val="0"/>
        <w:numPr>
          <w:ilvl w:val="1"/>
          <w:numId w:val="2"/>
        </w:numPr>
        <w:tabs>
          <w:tab w:val="left" w:pos="821"/>
        </w:tabs>
        <w:autoSpaceDE w:val="0"/>
        <w:autoSpaceDN w:val="0"/>
        <w:spacing w:before="2" w:after="0" w:line="276" w:lineRule="auto"/>
        <w:ind w:right="1016"/>
        <w:contextualSpacing w:val="0"/>
        <w:rPr>
          <w:sz w:val="28"/>
        </w:rPr>
      </w:pPr>
      <w:r w:rsidRPr="006F51D1">
        <w:t>Critically evaluate the perspective of the creator(s) of a primary source, including</w:t>
      </w:r>
      <w:r w:rsidRPr="006F51D1">
        <w:rPr>
          <w:spacing w:val="-29"/>
        </w:rPr>
        <w:t xml:space="preserve"> </w:t>
      </w:r>
      <w:r w:rsidRPr="006F51D1">
        <w:t>tone, subjectivity, and biases, and consider how these relate to the original purpose(s) and audience(s) of the</w:t>
      </w:r>
      <w:r w:rsidRPr="006F51D1">
        <w:rPr>
          <w:spacing w:val="-4"/>
        </w:rPr>
        <w:t xml:space="preserve"> </w:t>
      </w:r>
      <w:r w:rsidRPr="006F51D1">
        <w:t>source.</w:t>
      </w:r>
    </w:p>
    <w:p w:rsidR="0032533A" w:rsidRPr="006F51D1" w:rsidRDefault="0032533A" w:rsidP="0032533A">
      <w:pPr>
        <w:pStyle w:val="ListParagraph"/>
        <w:widowControl w:val="0"/>
        <w:numPr>
          <w:ilvl w:val="1"/>
          <w:numId w:val="2"/>
        </w:numPr>
        <w:tabs>
          <w:tab w:val="left" w:pos="821"/>
        </w:tabs>
        <w:autoSpaceDE w:val="0"/>
        <w:autoSpaceDN w:val="0"/>
        <w:spacing w:after="0" w:line="276" w:lineRule="auto"/>
        <w:ind w:right="246"/>
        <w:contextualSpacing w:val="0"/>
        <w:jc w:val="both"/>
        <w:rPr>
          <w:sz w:val="28"/>
        </w:rPr>
      </w:pPr>
      <w:r w:rsidRPr="006F51D1">
        <w:t>Situate a primary source in context by applying knowledge about the time and culture in which it was created; the author or creator; its format, genre, publication history; or related materials in a</w:t>
      </w:r>
      <w:r w:rsidRPr="006F51D1">
        <w:rPr>
          <w:spacing w:val="-1"/>
        </w:rPr>
        <w:t xml:space="preserve"> </w:t>
      </w:r>
      <w:r w:rsidRPr="006F51D1">
        <w:t>collection.</w:t>
      </w:r>
    </w:p>
    <w:p w:rsidR="0032533A" w:rsidRPr="006F51D1" w:rsidRDefault="0032533A" w:rsidP="0032533A">
      <w:pPr>
        <w:pStyle w:val="ListParagraph"/>
        <w:widowControl w:val="0"/>
        <w:numPr>
          <w:ilvl w:val="1"/>
          <w:numId w:val="2"/>
        </w:numPr>
        <w:tabs>
          <w:tab w:val="left" w:pos="821"/>
        </w:tabs>
        <w:autoSpaceDE w:val="0"/>
        <w:autoSpaceDN w:val="0"/>
        <w:spacing w:after="0" w:line="276" w:lineRule="auto"/>
        <w:ind w:right="239"/>
        <w:contextualSpacing w:val="0"/>
        <w:rPr>
          <w:sz w:val="28"/>
        </w:rPr>
      </w:pPr>
      <w:r w:rsidRPr="006F51D1">
        <w:t>As part of the analysis of available resources, identify, interrogate, and consider the reasons for silences, gaps, contradictions, or evidence of power relationships in the documentary record and how they impact the research</w:t>
      </w:r>
      <w:r w:rsidRPr="006F51D1">
        <w:rPr>
          <w:spacing w:val="-6"/>
        </w:rPr>
        <w:t xml:space="preserve"> </w:t>
      </w:r>
      <w:r w:rsidRPr="006F51D1">
        <w:t>process.</w:t>
      </w:r>
    </w:p>
    <w:p w:rsidR="006F51D1" w:rsidRPr="006F51D1" w:rsidRDefault="006F51D1" w:rsidP="006F51D1">
      <w:pPr>
        <w:pStyle w:val="ListParagraph"/>
        <w:widowControl w:val="0"/>
        <w:tabs>
          <w:tab w:val="left" w:pos="821"/>
        </w:tabs>
        <w:autoSpaceDE w:val="0"/>
        <w:autoSpaceDN w:val="0"/>
        <w:spacing w:after="0" w:line="276" w:lineRule="auto"/>
        <w:ind w:left="1440" w:right="239"/>
        <w:contextualSpacing w:val="0"/>
        <w:rPr>
          <w:sz w:val="28"/>
        </w:rPr>
      </w:pPr>
    </w:p>
    <w:p w:rsidR="00E11108" w:rsidRPr="00E11108" w:rsidRDefault="00E11108" w:rsidP="00E11108">
      <w:pPr>
        <w:pStyle w:val="ListParagraph"/>
        <w:numPr>
          <w:ilvl w:val="0"/>
          <w:numId w:val="2"/>
        </w:numPr>
        <w:rPr>
          <w:u w:val="single"/>
        </w:rPr>
      </w:pPr>
      <w:r w:rsidRPr="00E11108">
        <w:rPr>
          <w:u w:val="single"/>
        </w:rPr>
        <w:t>Historical Background</w:t>
      </w:r>
    </w:p>
    <w:p w:rsidR="00E11108" w:rsidRDefault="00E11108" w:rsidP="00E11108">
      <w:pPr>
        <w:ind w:firstLine="360"/>
      </w:pPr>
      <w:r w:rsidRPr="00E11108">
        <w:t>At 12:01 a.m. on February 8, 1946, nearly 3,000 iron miners on the Marquette Iron Range in Michigan’s central Upper Peninsula walked off their jobs.  It was the first major labor action in the region since 1895.  Three thousand inexperienced union miners on the Marquette Iron Range joined 750,000 steelworkers nation-wide in a strike of the steel industry led by the recently formed United Steel Workers of America (USWA).   The strike against the steel industry lasted just nine days, but the strike on the Marquette Range against the iron mining companies lasted 104 long and frustrating days and finally ended on May 22 when the companies capitulated to the union’s demands for recognition, dues write-off, and 18.5 cents per hour more in wages.</w:t>
      </w:r>
    </w:p>
    <w:p w:rsidR="00E11108" w:rsidRDefault="00E11108" w:rsidP="00E11108">
      <w:pPr>
        <w:spacing w:line="240" w:lineRule="auto"/>
        <w:ind w:firstLine="360"/>
        <w:rPr>
          <w:rFonts w:eastAsia="Times New Roman" w:cs="Times New Roman"/>
          <w:szCs w:val="24"/>
        </w:rPr>
      </w:pPr>
      <w:r>
        <w:t xml:space="preserve">Prior to the Great Depression, the labor movement had little success in organizing workers in the iron mines of the central Upper Peninsula.  </w:t>
      </w:r>
      <w:r w:rsidRPr="00E11108">
        <w:rPr>
          <w:rFonts w:eastAsia="Times New Roman" w:cs="Times New Roman"/>
          <w:szCs w:val="24"/>
        </w:rPr>
        <w:t xml:space="preserve">The trauma of the Great Depression, however, ended labor’s lethargy on the </w:t>
      </w:r>
      <w:smartTag w:uri="urn:schemas-microsoft-com:office:smarttags" w:element="place">
        <w:smartTag w:uri="urn:schemas-microsoft-com:office:smarttags" w:element="PlaceName">
          <w:r w:rsidRPr="00E11108">
            <w:rPr>
              <w:rFonts w:eastAsia="Times New Roman" w:cs="Times New Roman"/>
              <w:szCs w:val="24"/>
            </w:rPr>
            <w:t>Marquette</w:t>
          </w:r>
        </w:smartTag>
        <w:r w:rsidRPr="00E11108">
          <w:rPr>
            <w:rFonts w:eastAsia="Times New Roman" w:cs="Times New Roman"/>
            <w:szCs w:val="24"/>
          </w:rPr>
          <w:t xml:space="preserve"> </w:t>
        </w:r>
        <w:smartTag w:uri="urn:schemas-microsoft-com:office:smarttags" w:element="PlaceName">
          <w:r w:rsidRPr="00E11108">
            <w:rPr>
              <w:rFonts w:eastAsia="Times New Roman" w:cs="Times New Roman"/>
              <w:szCs w:val="24"/>
            </w:rPr>
            <w:t>Iron</w:t>
          </w:r>
        </w:smartTag>
        <w:r w:rsidRPr="00E11108">
          <w:rPr>
            <w:rFonts w:eastAsia="Times New Roman" w:cs="Times New Roman"/>
            <w:szCs w:val="24"/>
          </w:rPr>
          <w:t xml:space="preserve"> </w:t>
        </w:r>
        <w:smartTag w:uri="urn:schemas-microsoft-com:office:smarttags" w:element="PlaceType">
          <w:r w:rsidRPr="00E11108">
            <w:rPr>
              <w:rFonts w:eastAsia="Times New Roman" w:cs="Times New Roman"/>
              <w:szCs w:val="24"/>
            </w:rPr>
            <w:t>Range</w:t>
          </w:r>
        </w:smartTag>
      </w:smartTag>
      <w:r w:rsidRPr="00E11108">
        <w:rPr>
          <w:rFonts w:eastAsia="Times New Roman" w:cs="Times New Roman"/>
          <w:szCs w:val="24"/>
        </w:rPr>
        <w:t>.  In 1937, Henry A. Burkhammer became director of District 33 (</w:t>
      </w:r>
      <w:smartTag w:uri="urn:schemas-microsoft-com:office:smarttags" w:element="City">
        <w:smartTag w:uri="urn:schemas-microsoft-com:office:smarttags" w:element="place">
          <w:r w:rsidRPr="00E11108">
            <w:rPr>
              <w:rFonts w:eastAsia="Times New Roman" w:cs="Times New Roman"/>
              <w:szCs w:val="24"/>
            </w:rPr>
            <w:t>Duluth</w:t>
          </w:r>
        </w:smartTag>
      </w:smartTag>
      <w:r w:rsidRPr="00E11108">
        <w:rPr>
          <w:rFonts w:eastAsia="Times New Roman" w:cs="Times New Roman"/>
          <w:szCs w:val="24"/>
        </w:rPr>
        <w:t xml:space="preserve">) of the Steel Workers Organizing Committee (SWOC), CIO.  Burkhammer immediately sent organizers into the field that assisted in the formation of Local 2099 in Ishpeming and Negaunee.  In response to the SWOC’s efforts, Cleveland Cliffs Iron </w:t>
      </w:r>
      <w:r w:rsidRPr="00E11108">
        <w:rPr>
          <w:rFonts w:eastAsia="Times New Roman" w:cs="Times New Roman"/>
          <w:szCs w:val="24"/>
        </w:rPr>
        <w:lastRenderedPageBreak/>
        <w:t xml:space="preserve">Mining Company, the largest on the Range, formed the "Marquette Range Industrial Union."  This company union continued to be active until 1941, when SWOC organizer, Joe Pascoe, filed a successful complaint against it with the National Labor Relations Board (NLRB).  The NLRB’s ruling against the company union spurred SWOC organizing, and by the end of 1941 they had managed to sign all the mines on the range.  In May 1942, SWOC became the United Steelworkers of America.  In April 1943, the USWA had completed formal agreements with all the companies.  Jack Powell, a local miner from Chicago with no union experience, became the sub-district director in 1944.  </w:t>
      </w:r>
    </w:p>
    <w:p w:rsidR="00E11108" w:rsidRDefault="00E11108" w:rsidP="00E11108">
      <w:pPr>
        <w:pStyle w:val="ListParagraph"/>
        <w:numPr>
          <w:ilvl w:val="0"/>
          <w:numId w:val="2"/>
        </w:numPr>
        <w:spacing w:line="240" w:lineRule="auto"/>
        <w:rPr>
          <w:rFonts w:eastAsia="Times New Roman" w:cs="Times New Roman"/>
          <w:szCs w:val="24"/>
          <w:u w:val="single"/>
        </w:rPr>
      </w:pPr>
      <w:r w:rsidRPr="00E11108">
        <w:rPr>
          <w:rFonts w:eastAsia="Times New Roman" w:cs="Times New Roman"/>
          <w:szCs w:val="24"/>
          <w:u w:val="single"/>
        </w:rPr>
        <w:t>Activities</w:t>
      </w:r>
    </w:p>
    <w:p w:rsidR="004D3E6D" w:rsidRDefault="004D3E6D" w:rsidP="004D3E6D">
      <w:pPr>
        <w:pStyle w:val="ListParagraph"/>
        <w:spacing w:line="240" w:lineRule="auto"/>
        <w:rPr>
          <w:rFonts w:eastAsia="Times New Roman" w:cs="Times New Roman"/>
          <w:szCs w:val="24"/>
          <w:u w:val="single"/>
        </w:rPr>
      </w:pPr>
    </w:p>
    <w:p w:rsidR="004D3E6D" w:rsidRDefault="004D3E6D" w:rsidP="004D3E6D">
      <w:pPr>
        <w:pStyle w:val="ListParagraph"/>
        <w:numPr>
          <w:ilvl w:val="0"/>
          <w:numId w:val="4"/>
        </w:numPr>
        <w:spacing w:line="240" w:lineRule="auto"/>
        <w:rPr>
          <w:rFonts w:eastAsia="Times New Roman" w:cs="Times New Roman"/>
          <w:szCs w:val="24"/>
        </w:rPr>
      </w:pPr>
      <w:r>
        <w:rPr>
          <w:rFonts w:eastAsia="Times New Roman" w:cs="Times New Roman"/>
          <w:szCs w:val="24"/>
        </w:rPr>
        <w:t>Invite the university archivist to give a short presentation on the history of the 1946 strike.</w:t>
      </w:r>
    </w:p>
    <w:p w:rsidR="004D3E6D" w:rsidRDefault="004D3E6D" w:rsidP="004D3E6D">
      <w:pPr>
        <w:pStyle w:val="ListParagraph"/>
        <w:spacing w:line="240" w:lineRule="auto"/>
        <w:rPr>
          <w:rFonts w:eastAsia="Times New Roman" w:cs="Times New Roman"/>
          <w:szCs w:val="24"/>
        </w:rPr>
      </w:pPr>
    </w:p>
    <w:p w:rsidR="004D3E6D" w:rsidRPr="004D3E6D" w:rsidRDefault="004D3E6D" w:rsidP="004D3E6D">
      <w:pPr>
        <w:pStyle w:val="ListParagraph"/>
        <w:numPr>
          <w:ilvl w:val="0"/>
          <w:numId w:val="4"/>
        </w:numPr>
        <w:spacing w:line="240" w:lineRule="auto"/>
        <w:rPr>
          <w:rFonts w:eastAsia="Times New Roman" w:cs="Times New Roman"/>
          <w:szCs w:val="24"/>
        </w:rPr>
      </w:pPr>
      <w:r>
        <w:rPr>
          <w:rFonts w:eastAsia="Times New Roman" w:cs="Times New Roman"/>
          <w:szCs w:val="24"/>
        </w:rPr>
        <w:t xml:space="preserve">Have the students review the </w:t>
      </w:r>
      <w:r w:rsidRPr="00E11108">
        <w:t>United Steelworkers of America Local 4950 records</w:t>
      </w:r>
      <w:r>
        <w:t xml:space="preserve"> (MSS-037) </w:t>
      </w:r>
      <w:hyperlink r:id="rId8" w:history="1">
        <w:r w:rsidRPr="004D3E6D">
          <w:rPr>
            <w:rStyle w:val="Hyperlink"/>
          </w:rPr>
          <w:t>collection finding aid</w:t>
        </w:r>
      </w:hyperlink>
      <w:r>
        <w:t xml:space="preserve">. </w:t>
      </w:r>
    </w:p>
    <w:p w:rsidR="004D3E6D" w:rsidRPr="004D3E6D" w:rsidRDefault="004D3E6D" w:rsidP="004D3E6D">
      <w:pPr>
        <w:pStyle w:val="ListParagraph"/>
        <w:rPr>
          <w:rFonts w:eastAsia="Times New Roman" w:cs="Times New Roman"/>
          <w:szCs w:val="24"/>
        </w:rPr>
      </w:pPr>
    </w:p>
    <w:p w:rsidR="004D3E6D" w:rsidRPr="004D3E6D" w:rsidRDefault="004D3E6D" w:rsidP="004D3E6D">
      <w:pPr>
        <w:pStyle w:val="ListParagraph"/>
        <w:numPr>
          <w:ilvl w:val="0"/>
          <w:numId w:val="4"/>
        </w:numPr>
        <w:spacing w:line="240" w:lineRule="auto"/>
        <w:rPr>
          <w:rFonts w:eastAsia="Times New Roman" w:cs="Times New Roman"/>
          <w:szCs w:val="24"/>
        </w:rPr>
      </w:pPr>
      <w:r>
        <w:t>Using the Photographic Analysis Worksheet, have students examine and evaluate the following photographs:</w:t>
      </w:r>
    </w:p>
    <w:p w:rsidR="004D3E6D" w:rsidRPr="004D3E6D" w:rsidRDefault="004D3E6D" w:rsidP="004D3E6D">
      <w:pPr>
        <w:pStyle w:val="ListParagraph"/>
        <w:spacing w:line="240" w:lineRule="auto"/>
        <w:rPr>
          <w:rFonts w:eastAsia="Times New Roman" w:cs="Times New Roman"/>
          <w:szCs w:val="24"/>
        </w:rPr>
      </w:pPr>
    </w:p>
    <w:p w:rsidR="004D3E6D" w:rsidRDefault="004D3E6D" w:rsidP="004D3E6D">
      <w:pPr>
        <w:pStyle w:val="ListParagraph"/>
        <w:numPr>
          <w:ilvl w:val="0"/>
          <w:numId w:val="5"/>
        </w:numPr>
        <w:spacing w:line="240" w:lineRule="auto"/>
        <w:rPr>
          <w:rFonts w:eastAsia="Times New Roman" w:cs="Times New Roman"/>
          <w:szCs w:val="24"/>
        </w:rPr>
      </w:pPr>
      <w:r>
        <w:rPr>
          <w:rFonts w:eastAsia="Times New Roman" w:cs="Times New Roman"/>
          <w:szCs w:val="24"/>
        </w:rPr>
        <w:t>Mather Mine Picket Line</w:t>
      </w:r>
    </w:p>
    <w:p w:rsidR="004D3E6D" w:rsidRDefault="004D3E6D" w:rsidP="004D3E6D">
      <w:pPr>
        <w:pStyle w:val="ListParagraph"/>
        <w:numPr>
          <w:ilvl w:val="0"/>
          <w:numId w:val="5"/>
        </w:numPr>
        <w:spacing w:line="240" w:lineRule="auto"/>
        <w:rPr>
          <w:rFonts w:eastAsia="Times New Roman" w:cs="Times New Roman"/>
          <w:szCs w:val="24"/>
        </w:rPr>
      </w:pPr>
      <w:r>
        <w:rPr>
          <w:rFonts w:eastAsia="Times New Roman" w:cs="Times New Roman"/>
          <w:szCs w:val="24"/>
        </w:rPr>
        <w:t>Crowd Converging on House</w:t>
      </w:r>
    </w:p>
    <w:p w:rsidR="004D3E6D" w:rsidRDefault="004D3E6D" w:rsidP="004D3E6D">
      <w:pPr>
        <w:pStyle w:val="ListParagraph"/>
        <w:numPr>
          <w:ilvl w:val="0"/>
          <w:numId w:val="5"/>
        </w:numPr>
        <w:spacing w:line="240" w:lineRule="auto"/>
        <w:rPr>
          <w:rFonts w:eastAsia="Times New Roman" w:cs="Times New Roman"/>
          <w:szCs w:val="24"/>
        </w:rPr>
      </w:pPr>
      <w:r>
        <w:rPr>
          <w:rFonts w:eastAsia="Times New Roman" w:cs="Times New Roman"/>
          <w:szCs w:val="24"/>
        </w:rPr>
        <w:t>Group of Women</w:t>
      </w:r>
    </w:p>
    <w:p w:rsidR="004D3E6D" w:rsidRDefault="004D3E6D" w:rsidP="00131316">
      <w:pPr>
        <w:pStyle w:val="ListParagraph"/>
        <w:numPr>
          <w:ilvl w:val="0"/>
          <w:numId w:val="5"/>
        </w:numPr>
        <w:spacing w:line="240" w:lineRule="auto"/>
        <w:rPr>
          <w:rFonts w:eastAsia="Times New Roman" w:cs="Times New Roman"/>
          <w:szCs w:val="24"/>
        </w:rPr>
      </w:pPr>
      <w:r w:rsidRPr="004D3E6D">
        <w:rPr>
          <w:rFonts w:eastAsia="Times New Roman" w:cs="Times New Roman"/>
          <w:szCs w:val="24"/>
        </w:rPr>
        <w:t>Strike Parade</w:t>
      </w:r>
    </w:p>
    <w:p w:rsidR="004D3E6D" w:rsidRPr="004D3E6D" w:rsidRDefault="004D3E6D" w:rsidP="004D3E6D">
      <w:pPr>
        <w:pStyle w:val="ListParagraph"/>
        <w:spacing w:line="240" w:lineRule="auto"/>
        <w:ind w:left="1440"/>
        <w:rPr>
          <w:rFonts w:eastAsia="Times New Roman" w:cs="Times New Roman"/>
          <w:szCs w:val="24"/>
        </w:rPr>
      </w:pPr>
    </w:p>
    <w:p w:rsidR="004D3E6D" w:rsidRDefault="004D3E6D" w:rsidP="004D3E6D">
      <w:pPr>
        <w:pStyle w:val="ListParagraph"/>
        <w:numPr>
          <w:ilvl w:val="0"/>
          <w:numId w:val="4"/>
        </w:numPr>
        <w:spacing w:line="240" w:lineRule="auto"/>
        <w:rPr>
          <w:rFonts w:eastAsia="Times New Roman" w:cs="Times New Roman"/>
          <w:szCs w:val="24"/>
        </w:rPr>
      </w:pPr>
      <w:r>
        <w:rPr>
          <w:rFonts w:eastAsia="Times New Roman" w:cs="Times New Roman"/>
          <w:szCs w:val="24"/>
        </w:rPr>
        <w:t>Have the students write a 2-3 report summarizing the information and conclusions of their photographic analysis.</w:t>
      </w:r>
    </w:p>
    <w:p w:rsidR="00093ED6" w:rsidRDefault="00093ED6" w:rsidP="00093ED6">
      <w:pPr>
        <w:pStyle w:val="ListParagraph"/>
        <w:spacing w:line="240" w:lineRule="auto"/>
        <w:rPr>
          <w:rFonts w:eastAsia="Times New Roman" w:cs="Times New Roman"/>
          <w:szCs w:val="24"/>
        </w:rPr>
      </w:pPr>
    </w:p>
    <w:p w:rsidR="004D3E6D" w:rsidRDefault="00093ED6" w:rsidP="00093ED6">
      <w:pPr>
        <w:pStyle w:val="ListParagraph"/>
        <w:numPr>
          <w:ilvl w:val="0"/>
          <w:numId w:val="2"/>
        </w:numPr>
        <w:spacing w:line="240" w:lineRule="auto"/>
        <w:rPr>
          <w:rFonts w:eastAsia="Times New Roman" w:cs="Times New Roman"/>
          <w:szCs w:val="24"/>
          <w:u w:val="single"/>
        </w:rPr>
      </w:pPr>
      <w:r w:rsidRPr="00093ED6">
        <w:rPr>
          <w:rFonts w:eastAsia="Times New Roman" w:cs="Times New Roman"/>
          <w:szCs w:val="24"/>
          <w:u w:val="single"/>
        </w:rPr>
        <w:t>Assessment</w:t>
      </w:r>
    </w:p>
    <w:p w:rsidR="00093ED6" w:rsidRPr="009B48E2" w:rsidRDefault="00093ED6" w:rsidP="00093ED6">
      <w:pPr>
        <w:rPr>
          <w:u w:val="single"/>
        </w:rPr>
      </w:pPr>
      <w:r w:rsidRPr="009B48E2">
        <w:rPr>
          <w:u w:val="single"/>
        </w:rPr>
        <w:t>Assessment Rubric of Primary Source Analysis</w:t>
      </w:r>
    </w:p>
    <w:tbl>
      <w:tblPr>
        <w:tblStyle w:val="TableGrid"/>
        <w:tblW w:w="0" w:type="auto"/>
        <w:tblLook w:val="04A0" w:firstRow="1" w:lastRow="0" w:firstColumn="1" w:lastColumn="0" w:noHBand="0" w:noVBand="1"/>
      </w:tblPr>
      <w:tblGrid>
        <w:gridCol w:w="1923"/>
        <w:gridCol w:w="1857"/>
        <w:gridCol w:w="1852"/>
        <w:gridCol w:w="1859"/>
        <w:gridCol w:w="1859"/>
      </w:tblGrid>
      <w:tr w:rsidR="00093ED6" w:rsidRPr="00C715B4" w:rsidTr="008C0C04">
        <w:tc>
          <w:tcPr>
            <w:tcW w:w="1870" w:type="dxa"/>
          </w:tcPr>
          <w:p w:rsidR="00093ED6" w:rsidRPr="009B48E2" w:rsidRDefault="00093ED6" w:rsidP="00093ED6">
            <w:pPr>
              <w:pStyle w:val="ListParagraph"/>
              <w:numPr>
                <w:ilvl w:val="0"/>
                <w:numId w:val="6"/>
              </w:numPr>
              <w:rPr>
                <w:rFonts w:cs="Times New Roman"/>
                <w:b/>
              </w:rPr>
            </w:pPr>
            <w:r w:rsidRPr="009B48E2">
              <w:rPr>
                <w:rFonts w:cs="Times New Roman"/>
                <w:b/>
              </w:rPr>
              <w:t>Learning Objective</w:t>
            </w:r>
          </w:p>
        </w:tc>
        <w:tc>
          <w:tcPr>
            <w:tcW w:w="1870" w:type="dxa"/>
          </w:tcPr>
          <w:p w:rsidR="00093ED6" w:rsidRPr="00C715B4" w:rsidRDefault="00093ED6" w:rsidP="008C0C04">
            <w:pPr>
              <w:rPr>
                <w:rFonts w:cs="Times New Roman"/>
                <w:b/>
              </w:rPr>
            </w:pPr>
            <w:r w:rsidRPr="00C715B4">
              <w:rPr>
                <w:rFonts w:cs="Times New Roman"/>
                <w:b/>
              </w:rPr>
              <w:t>Minimal</w:t>
            </w:r>
          </w:p>
        </w:tc>
        <w:tc>
          <w:tcPr>
            <w:tcW w:w="1870" w:type="dxa"/>
          </w:tcPr>
          <w:p w:rsidR="00093ED6" w:rsidRPr="00C715B4" w:rsidRDefault="00093ED6" w:rsidP="008C0C04">
            <w:pPr>
              <w:rPr>
                <w:rFonts w:cs="Times New Roman"/>
                <w:b/>
              </w:rPr>
            </w:pPr>
            <w:r w:rsidRPr="00C715B4">
              <w:rPr>
                <w:rFonts w:cs="Times New Roman"/>
                <w:b/>
              </w:rPr>
              <w:t>Fair</w:t>
            </w:r>
          </w:p>
        </w:tc>
        <w:tc>
          <w:tcPr>
            <w:tcW w:w="1870" w:type="dxa"/>
          </w:tcPr>
          <w:p w:rsidR="00093ED6" w:rsidRPr="00C715B4" w:rsidRDefault="00093ED6" w:rsidP="008C0C04">
            <w:pPr>
              <w:rPr>
                <w:rFonts w:cs="Times New Roman"/>
                <w:b/>
              </w:rPr>
            </w:pPr>
            <w:r w:rsidRPr="00C715B4">
              <w:rPr>
                <w:rFonts w:cs="Times New Roman"/>
                <w:b/>
              </w:rPr>
              <w:t>Good</w:t>
            </w:r>
          </w:p>
        </w:tc>
        <w:tc>
          <w:tcPr>
            <w:tcW w:w="1870" w:type="dxa"/>
          </w:tcPr>
          <w:p w:rsidR="00093ED6" w:rsidRPr="00C715B4" w:rsidRDefault="00093ED6" w:rsidP="008C0C04">
            <w:pPr>
              <w:rPr>
                <w:rFonts w:cs="Times New Roman"/>
                <w:b/>
              </w:rPr>
            </w:pPr>
            <w:r w:rsidRPr="00C715B4">
              <w:rPr>
                <w:rFonts w:cs="Times New Roman"/>
                <w:b/>
              </w:rPr>
              <w:t>Exemplary</w:t>
            </w:r>
          </w:p>
        </w:tc>
      </w:tr>
      <w:tr w:rsidR="00093ED6" w:rsidRPr="00C715B4" w:rsidTr="008C0C04">
        <w:tc>
          <w:tcPr>
            <w:tcW w:w="1870" w:type="dxa"/>
          </w:tcPr>
          <w:p w:rsidR="00093ED6" w:rsidRPr="00C715B4" w:rsidRDefault="00093ED6" w:rsidP="008C0C04">
            <w:pPr>
              <w:rPr>
                <w:rFonts w:cs="Times New Roman"/>
                <w:b/>
              </w:rPr>
            </w:pPr>
          </w:p>
        </w:tc>
        <w:tc>
          <w:tcPr>
            <w:tcW w:w="1870" w:type="dxa"/>
          </w:tcPr>
          <w:p w:rsidR="00093ED6" w:rsidRPr="00C715B4" w:rsidRDefault="00093ED6" w:rsidP="008C0C04">
            <w:pPr>
              <w:rPr>
                <w:rFonts w:cs="Times New Roman"/>
              </w:rPr>
            </w:pPr>
            <w:r w:rsidRPr="00C715B4">
              <w:rPr>
                <w:rFonts w:cs="Times New Roman"/>
              </w:rPr>
              <w:t>1</w:t>
            </w:r>
          </w:p>
        </w:tc>
        <w:tc>
          <w:tcPr>
            <w:tcW w:w="1870" w:type="dxa"/>
          </w:tcPr>
          <w:p w:rsidR="00093ED6" w:rsidRPr="00C715B4" w:rsidRDefault="00093ED6" w:rsidP="008C0C04">
            <w:pPr>
              <w:rPr>
                <w:rFonts w:cs="Times New Roman"/>
              </w:rPr>
            </w:pPr>
            <w:r w:rsidRPr="00C715B4">
              <w:rPr>
                <w:rFonts w:cs="Times New Roman"/>
              </w:rPr>
              <w:t>2</w:t>
            </w:r>
          </w:p>
        </w:tc>
        <w:tc>
          <w:tcPr>
            <w:tcW w:w="1870" w:type="dxa"/>
          </w:tcPr>
          <w:p w:rsidR="00093ED6" w:rsidRPr="00C715B4" w:rsidRDefault="00093ED6" w:rsidP="008C0C04">
            <w:pPr>
              <w:rPr>
                <w:rFonts w:cs="Times New Roman"/>
              </w:rPr>
            </w:pPr>
            <w:r w:rsidRPr="00C715B4">
              <w:rPr>
                <w:rFonts w:cs="Times New Roman"/>
              </w:rPr>
              <w:t>3</w:t>
            </w:r>
          </w:p>
        </w:tc>
        <w:tc>
          <w:tcPr>
            <w:tcW w:w="1870" w:type="dxa"/>
          </w:tcPr>
          <w:p w:rsidR="00093ED6" w:rsidRPr="00C715B4" w:rsidRDefault="00093ED6" w:rsidP="008C0C04">
            <w:pPr>
              <w:rPr>
                <w:rFonts w:cs="Times New Roman"/>
              </w:rPr>
            </w:pPr>
            <w:r w:rsidRPr="00C715B4">
              <w:rPr>
                <w:rFonts w:cs="Times New Roman"/>
              </w:rPr>
              <w:t>4</w:t>
            </w:r>
          </w:p>
        </w:tc>
      </w:tr>
      <w:tr w:rsidR="00093ED6" w:rsidRPr="00C715B4" w:rsidTr="008C0C04">
        <w:tc>
          <w:tcPr>
            <w:tcW w:w="1870" w:type="dxa"/>
          </w:tcPr>
          <w:p w:rsidR="00093ED6" w:rsidRPr="001654FD" w:rsidRDefault="00093ED6" w:rsidP="008C0C04">
            <w:pPr>
              <w:rPr>
                <w:rFonts w:cs="Times New Roman"/>
                <w:b/>
              </w:rPr>
            </w:pPr>
            <w:r w:rsidRPr="001654FD">
              <w:rPr>
                <w:rFonts w:cs="Times New Roman"/>
                <w:b/>
              </w:rPr>
              <w:t>Assess the appropriateness of a primary source</w:t>
            </w:r>
          </w:p>
        </w:tc>
        <w:tc>
          <w:tcPr>
            <w:tcW w:w="1870" w:type="dxa"/>
          </w:tcPr>
          <w:p w:rsidR="00093ED6" w:rsidRPr="00C715B4" w:rsidRDefault="00093ED6" w:rsidP="008C0C04">
            <w:pPr>
              <w:rPr>
                <w:rFonts w:cs="Times New Roman"/>
              </w:rPr>
            </w:pPr>
            <w:r w:rsidRPr="00C715B4">
              <w:rPr>
                <w:rFonts w:cs="Times New Roman"/>
              </w:rPr>
              <w:t>Makes a very brief or erroneous attempt at identifying the basic characteristics of the sources.</w:t>
            </w:r>
          </w:p>
        </w:tc>
        <w:tc>
          <w:tcPr>
            <w:tcW w:w="1870" w:type="dxa"/>
          </w:tcPr>
          <w:p w:rsidR="00093ED6" w:rsidRPr="00C715B4" w:rsidRDefault="00093ED6" w:rsidP="008C0C04">
            <w:pPr>
              <w:rPr>
                <w:rFonts w:cs="Times New Roman"/>
              </w:rPr>
            </w:pPr>
            <w:r w:rsidRPr="00C715B4">
              <w:rPr>
                <w:rFonts w:cs="Times New Roman"/>
              </w:rPr>
              <w:t>Offers only a basic description of the sources and may include errors.</w:t>
            </w:r>
          </w:p>
        </w:tc>
        <w:tc>
          <w:tcPr>
            <w:tcW w:w="1870" w:type="dxa"/>
          </w:tcPr>
          <w:p w:rsidR="00093ED6" w:rsidRPr="00C715B4" w:rsidRDefault="00093ED6" w:rsidP="008C0C04">
            <w:pPr>
              <w:rPr>
                <w:rFonts w:cs="Times New Roman"/>
              </w:rPr>
            </w:pPr>
            <w:r w:rsidRPr="00C715B4">
              <w:rPr>
                <w:rFonts w:cs="Times New Roman"/>
              </w:rPr>
              <w:t>Describes most of the elements of the sources correctly.</w:t>
            </w:r>
          </w:p>
        </w:tc>
        <w:tc>
          <w:tcPr>
            <w:tcW w:w="1870" w:type="dxa"/>
          </w:tcPr>
          <w:p w:rsidR="00093ED6" w:rsidRPr="00C715B4" w:rsidRDefault="00093ED6" w:rsidP="008C0C04">
            <w:pPr>
              <w:rPr>
                <w:rFonts w:cs="Times New Roman"/>
              </w:rPr>
            </w:pPr>
            <w:r w:rsidRPr="00C715B4">
              <w:rPr>
                <w:rFonts w:cs="Times New Roman"/>
              </w:rPr>
              <w:t>Thoroughly and accurately describes elements of document, photograph, and finding aid</w:t>
            </w:r>
          </w:p>
        </w:tc>
      </w:tr>
      <w:tr w:rsidR="00093ED6" w:rsidRPr="00C715B4" w:rsidTr="008C0C04">
        <w:tc>
          <w:tcPr>
            <w:tcW w:w="1870" w:type="dxa"/>
          </w:tcPr>
          <w:p w:rsidR="00093ED6" w:rsidRPr="001654FD" w:rsidRDefault="00093ED6" w:rsidP="008C0C04">
            <w:pPr>
              <w:rPr>
                <w:rFonts w:cs="Times New Roman"/>
                <w:b/>
              </w:rPr>
            </w:pPr>
            <w:r w:rsidRPr="001654FD">
              <w:rPr>
                <w:rFonts w:cs="Times New Roman"/>
                <w:b/>
              </w:rPr>
              <w:t xml:space="preserve">Critically evaluate the perspective of the creator(s) of </w:t>
            </w:r>
            <w:r w:rsidRPr="001654FD">
              <w:rPr>
                <w:rFonts w:cs="Times New Roman"/>
                <w:b/>
              </w:rPr>
              <w:lastRenderedPageBreak/>
              <w:t>a primary source</w:t>
            </w:r>
          </w:p>
        </w:tc>
        <w:tc>
          <w:tcPr>
            <w:tcW w:w="1870" w:type="dxa"/>
          </w:tcPr>
          <w:p w:rsidR="00093ED6" w:rsidRPr="00C715B4" w:rsidRDefault="00093ED6" w:rsidP="008C0C04">
            <w:pPr>
              <w:rPr>
                <w:rFonts w:cs="Times New Roman"/>
              </w:rPr>
            </w:pPr>
            <w:r>
              <w:rPr>
                <w:rFonts w:cs="Times New Roman"/>
              </w:rPr>
              <w:lastRenderedPageBreak/>
              <w:t xml:space="preserve">Does not acknowledge or identify any </w:t>
            </w:r>
            <w:r>
              <w:rPr>
                <w:rFonts w:cs="Times New Roman"/>
              </w:rPr>
              <w:lastRenderedPageBreak/>
              <w:t>bias, prejudice or factual errors</w:t>
            </w:r>
          </w:p>
        </w:tc>
        <w:tc>
          <w:tcPr>
            <w:tcW w:w="1870" w:type="dxa"/>
          </w:tcPr>
          <w:p w:rsidR="00093ED6" w:rsidRPr="00C715B4" w:rsidRDefault="00093ED6" w:rsidP="008C0C04">
            <w:pPr>
              <w:rPr>
                <w:rFonts w:cs="Times New Roman"/>
              </w:rPr>
            </w:pPr>
            <w:r>
              <w:rPr>
                <w:rFonts w:cs="Times New Roman"/>
              </w:rPr>
              <w:lastRenderedPageBreak/>
              <w:t xml:space="preserve">Does acknowledge and identify some bias, </w:t>
            </w:r>
            <w:r>
              <w:rPr>
                <w:rFonts w:cs="Times New Roman"/>
              </w:rPr>
              <w:lastRenderedPageBreak/>
              <w:t>prejudice, or factual errors</w:t>
            </w:r>
          </w:p>
        </w:tc>
        <w:tc>
          <w:tcPr>
            <w:tcW w:w="1870" w:type="dxa"/>
          </w:tcPr>
          <w:p w:rsidR="00093ED6" w:rsidRPr="00C715B4" w:rsidRDefault="00093ED6" w:rsidP="008C0C04">
            <w:pPr>
              <w:rPr>
                <w:rFonts w:cs="Times New Roman"/>
              </w:rPr>
            </w:pPr>
            <w:r>
              <w:rPr>
                <w:rFonts w:cs="Times New Roman"/>
              </w:rPr>
              <w:lastRenderedPageBreak/>
              <w:t xml:space="preserve">Acknowledges and identifies appropriate bias, </w:t>
            </w:r>
            <w:r>
              <w:rPr>
                <w:rFonts w:cs="Times New Roman"/>
              </w:rPr>
              <w:lastRenderedPageBreak/>
              <w:t xml:space="preserve">prejudices, and factual errors </w:t>
            </w:r>
          </w:p>
        </w:tc>
        <w:tc>
          <w:tcPr>
            <w:tcW w:w="1870" w:type="dxa"/>
          </w:tcPr>
          <w:p w:rsidR="00093ED6" w:rsidRPr="00C715B4" w:rsidRDefault="00093ED6" w:rsidP="008C0C04">
            <w:pPr>
              <w:rPr>
                <w:rFonts w:cs="Times New Roman"/>
              </w:rPr>
            </w:pPr>
            <w:r>
              <w:rPr>
                <w:rFonts w:cs="Times New Roman"/>
              </w:rPr>
              <w:lastRenderedPageBreak/>
              <w:t xml:space="preserve">Acknowledges and identifies appropriate bias, prejudices, and </w:t>
            </w:r>
            <w:r>
              <w:rPr>
                <w:rFonts w:cs="Times New Roman"/>
              </w:rPr>
              <w:lastRenderedPageBreak/>
              <w:t xml:space="preserve">factual errors AND explains how these problems raise questions about the credibility of the evidence. </w:t>
            </w:r>
          </w:p>
        </w:tc>
      </w:tr>
      <w:tr w:rsidR="00093ED6" w:rsidRPr="00C715B4" w:rsidTr="008C0C04">
        <w:tc>
          <w:tcPr>
            <w:tcW w:w="1870" w:type="dxa"/>
          </w:tcPr>
          <w:p w:rsidR="00093ED6" w:rsidRPr="001654FD" w:rsidRDefault="00093ED6" w:rsidP="008C0C04">
            <w:pPr>
              <w:rPr>
                <w:rFonts w:cs="Times New Roman"/>
                <w:b/>
              </w:rPr>
            </w:pPr>
            <w:r w:rsidRPr="001654FD">
              <w:rPr>
                <w:rFonts w:cs="Times New Roman"/>
                <w:b/>
              </w:rPr>
              <w:lastRenderedPageBreak/>
              <w:t>Situate a primary source in historical context</w:t>
            </w:r>
          </w:p>
        </w:tc>
        <w:tc>
          <w:tcPr>
            <w:tcW w:w="1870" w:type="dxa"/>
          </w:tcPr>
          <w:p w:rsidR="00093ED6" w:rsidRPr="00C715B4" w:rsidRDefault="00093ED6" w:rsidP="008C0C04">
            <w:pPr>
              <w:rPr>
                <w:rFonts w:cs="Times New Roman"/>
              </w:rPr>
            </w:pPr>
            <w:r w:rsidRPr="00C715B4">
              <w:rPr>
                <w:rFonts w:cs="Times New Roman"/>
              </w:rPr>
              <w:t xml:space="preserve">Is not able to place any of the sources in a broader historical context. </w:t>
            </w:r>
          </w:p>
        </w:tc>
        <w:tc>
          <w:tcPr>
            <w:tcW w:w="1870" w:type="dxa"/>
          </w:tcPr>
          <w:p w:rsidR="00093ED6" w:rsidRPr="00C715B4" w:rsidRDefault="00093ED6" w:rsidP="008C0C04">
            <w:pPr>
              <w:rPr>
                <w:rFonts w:cs="Times New Roman"/>
              </w:rPr>
            </w:pPr>
            <w:r w:rsidRPr="00C715B4">
              <w:rPr>
                <w:rFonts w:cs="Times New Roman"/>
              </w:rPr>
              <w:t>Offers one example in which a source is placed in a broader historical context.</w:t>
            </w:r>
          </w:p>
        </w:tc>
        <w:tc>
          <w:tcPr>
            <w:tcW w:w="1870" w:type="dxa"/>
          </w:tcPr>
          <w:p w:rsidR="00093ED6" w:rsidRPr="00C715B4" w:rsidRDefault="00093ED6" w:rsidP="008C0C04">
            <w:pPr>
              <w:rPr>
                <w:rFonts w:cs="Times New Roman"/>
              </w:rPr>
            </w:pPr>
            <w:r w:rsidRPr="00C715B4">
              <w:rPr>
                <w:rFonts w:cs="Times New Roman"/>
              </w:rPr>
              <w:t>Explains and gives examples of the meaning and usefulness of more than one but not all of the sources, placing them in a broader historical context.</w:t>
            </w:r>
          </w:p>
        </w:tc>
        <w:tc>
          <w:tcPr>
            <w:tcW w:w="1870" w:type="dxa"/>
          </w:tcPr>
          <w:p w:rsidR="00093ED6" w:rsidRPr="00C715B4" w:rsidRDefault="00093ED6" w:rsidP="008C0C04">
            <w:pPr>
              <w:rPr>
                <w:rFonts w:cs="Times New Roman"/>
              </w:rPr>
            </w:pPr>
            <w:r w:rsidRPr="00C715B4">
              <w:rPr>
                <w:rFonts w:cs="Times New Roman"/>
              </w:rPr>
              <w:t>Explains and gives examples of the meaning and usefulness of all of the sources and places them within a broad historical context.</w:t>
            </w:r>
          </w:p>
        </w:tc>
      </w:tr>
      <w:tr w:rsidR="00093ED6" w:rsidRPr="00C715B4" w:rsidTr="008C0C04">
        <w:tc>
          <w:tcPr>
            <w:tcW w:w="1870" w:type="dxa"/>
          </w:tcPr>
          <w:p w:rsidR="00093ED6" w:rsidRPr="001654FD" w:rsidRDefault="00093ED6" w:rsidP="008C0C04">
            <w:pPr>
              <w:rPr>
                <w:rFonts w:cs="Times New Roman"/>
                <w:b/>
              </w:rPr>
            </w:pPr>
            <w:r w:rsidRPr="001654FD">
              <w:rPr>
                <w:rFonts w:cs="Times New Roman"/>
                <w:b/>
              </w:rPr>
              <w:t>Identify, interrogate, and consider the reasons for silences, gaps, contradictions, or evidence of power relationships in the documentary record and how they impact the research</w:t>
            </w:r>
            <w:r w:rsidRPr="001654FD">
              <w:rPr>
                <w:rFonts w:cs="Times New Roman"/>
                <w:b/>
                <w:spacing w:val="-6"/>
              </w:rPr>
              <w:t xml:space="preserve"> </w:t>
            </w:r>
            <w:r w:rsidRPr="001654FD">
              <w:rPr>
                <w:rFonts w:cs="Times New Roman"/>
                <w:b/>
              </w:rPr>
              <w:t>process</w:t>
            </w:r>
          </w:p>
        </w:tc>
        <w:tc>
          <w:tcPr>
            <w:tcW w:w="1870" w:type="dxa"/>
          </w:tcPr>
          <w:p w:rsidR="00093ED6" w:rsidRPr="00C715B4" w:rsidRDefault="00093ED6" w:rsidP="008C0C04">
            <w:pPr>
              <w:rPr>
                <w:rFonts w:cs="Times New Roman"/>
              </w:rPr>
            </w:pPr>
            <w:r w:rsidRPr="00C715B4">
              <w:rPr>
                <w:rFonts w:cs="Times New Roman"/>
              </w:rPr>
              <w:t>Does not offer any additional information about the source besides what is already provided.</w:t>
            </w:r>
          </w:p>
        </w:tc>
        <w:tc>
          <w:tcPr>
            <w:tcW w:w="1870" w:type="dxa"/>
          </w:tcPr>
          <w:p w:rsidR="00093ED6" w:rsidRPr="00C715B4" w:rsidRDefault="00093ED6" w:rsidP="008C0C04">
            <w:pPr>
              <w:rPr>
                <w:rFonts w:cs="Times New Roman"/>
              </w:rPr>
            </w:pPr>
            <w:r w:rsidRPr="00C715B4">
              <w:rPr>
                <w:rFonts w:cs="Times New Roman"/>
              </w:rPr>
              <w:t>Asks questions about one source regarding its validity, limitations, and strengths.</w:t>
            </w:r>
          </w:p>
        </w:tc>
        <w:tc>
          <w:tcPr>
            <w:tcW w:w="1870" w:type="dxa"/>
          </w:tcPr>
          <w:p w:rsidR="00093ED6" w:rsidRPr="00C715B4" w:rsidRDefault="00093ED6" w:rsidP="008C0C04">
            <w:pPr>
              <w:rPr>
                <w:rFonts w:cs="Times New Roman"/>
              </w:rPr>
            </w:pPr>
            <w:r w:rsidRPr="00C715B4">
              <w:rPr>
                <w:rFonts w:cs="Times New Roman"/>
              </w:rPr>
              <w:t>Able to ask questions about more than one but not all of the sources regarding their validity, limitations, and strengths.</w:t>
            </w:r>
          </w:p>
        </w:tc>
        <w:tc>
          <w:tcPr>
            <w:tcW w:w="1870" w:type="dxa"/>
          </w:tcPr>
          <w:p w:rsidR="00093ED6" w:rsidRPr="00C715B4" w:rsidRDefault="00093ED6" w:rsidP="008C0C04">
            <w:pPr>
              <w:rPr>
                <w:rFonts w:cs="Times New Roman"/>
              </w:rPr>
            </w:pPr>
            <w:r w:rsidRPr="00C715B4">
              <w:rPr>
                <w:rFonts w:cs="Times New Roman"/>
              </w:rPr>
              <w:t>Able to ask questions about all of the sources regarding their validity, limitations, and strengths.</w:t>
            </w:r>
          </w:p>
        </w:tc>
      </w:tr>
    </w:tbl>
    <w:p w:rsidR="00093ED6" w:rsidRPr="00093ED6" w:rsidRDefault="00093ED6" w:rsidP="00093ED6">
      <w:pPr>
        <w:spacing w:line="240" w:lineRule="auto"/>
        <w:rPr>
          <w:rFonts w:eastAsia="Times New Roman" w:cs="Times New Roman"/>
          <w:szCs w:val="24"/>
          <w:u w:val="single"/>
        </w:rPr>
      </w:pPr>
    </w:p>
    <w:sectPr w:rsidR="00093ED6" w:rsidRPr="00093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F7" w:rsidRDefault="00CA4FF7" w:rsidP="00E11108">
      <w:pPr>
        <w:spacing w:after="0" w:line="240" w:lineRule="auto"/>
      </w:pPr>
      <w:r>
        <w:separator/>
      </w:r>
    </w:p>
  </w:endnote>
  <w:endnote w:type="continuationSeparator" w:id="0">
    <w:p w:rsidR="00CA4FF7" w:rsidRDefault="00CA4FF7" w:rsidP="00E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F7" w:rsidRDefault="00CA4FF7" w:rsidP="00E11108">
      <w:pPr>
        <w:spacing w:after="0" w:line="240" w:lineRule="auto"/>
      </w:pPr>
      <w:r>
        <w:separator/>
      </w:r>
    </w:p>
  </w:footnote>
  <w:footnote w:type="continuationSeparator" w:id="0">
    <w:p w:rsidR="00CA4FF7" w:rsidRDefault="00CA4FF7" w:rsidP="00E11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D07"/>
    <w:multiLevelType w:val="hybridMultilevel"/>
    <w:tmpl w:val="BB064D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6A46F6"/>
    <w:multiLevelType w:val="hybridMultilevel"/>
    <w:tmpl w:val="209EC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C17C86"/>
    <w:multiLevelType w:val="hybridMultilevel"/>
    <w:tmpl w:val="463E1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B2396"/>
    <w:multiLevelType w:val="hybridMultilevel"/>
    <w:tmpl w:val="29B2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97A30"/>
    <w:multiLevelType w:val="hybridMultilevel"/>
    <w:tmpl w:val="168A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354D4"/>
    <w:multiLevelType w:val="hybridMultilevel"/>
    <w:tmpl w:val="463E1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0B"/>
    <w:rsid w:val="00093ED6"/>
    <w:rsid w:val="001F5F0B"/>
    <w:rsid w:val="0032533A"/>
    <w:rsid w:val="004D3E6D"/>
    <w:rsid w:val="006F51D1"/>
    <w:rsid w:val="00805141"/>
    <w:rsid w:val="00900534"/>
    <w:rsid w:val="00A34C47"/>
    <w:rsid w:val="00CA4FF7"/>
    <w:rsid w:val="00E11108"/>
    <w:rsid w:val="00FA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0808DC"/>
  <w15:chartTrackingRefBased/>
  <w15:docId w15:val="{88057E45-71B1-4721-8E6E-33B4631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3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5F0B"/>
    <w:pPr>
      <w:ind w:left="720"/>
      <w:contextualSpacing/>
    </w:pPr>
  </w:style>
  <w:style w:type="character" w:styleId="Hyperlink">
    <w:name w:val="Hyperlink"/>
    <w:basedOn w:val="DefaultParagraphFont"/>
    <w:uiPriority w:val="99"/>
    <w:unhideWhenUsed/>
    <w:rsid w:val="0032533A"/>
    <w:rPr>
      <w:color w:val="0563C1" w:themeColor="hyperlink"/>
      <w:u w:val="single"/>
    </w:rPr>
  </w:style>
  <w:style w:type="paragraph" w:styleId="FootnoteText">
    <w:name w:val="footnote text"/>
    <w:basedOn w:val="Normal"/>
    <w:link w:val="FootnoteTextChar"/>
    <w:semiHidden/>
    <w:rsid w:val="00E1110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E11108"/>
    <w:rPr>
      <w:rFonts w:ascii="Times New Roman" w:eastAsia="Times New Roman" w:hAnsi="Times New Roman" w:cs="Times New Roman"/>
      <w:sz w:val="20"/>
      <w:szCs w:val="20"/>
    </w:rPr>
  </w:style>
  <w:style w:type="character" w:styleId="FootnoteReference">
    <w:name w:val="footnote reference"/>
    <w:semiHidden/>
    <w:rsid w:val="00E11108"/>
    <w:rPr>
      <w:vertAlign w:val="superscript"/>
    </w:rPr>
  </w:style>
  <w:style w:type="table" w:styleId="TableGrid">
    <w:name w:val="Table Grid"/>
    <w:basedOn w:val="TableNormal"/>
    <w:uiPriority w:val="39"/>
    <w:rsid w:val="0009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u.lyrasistechnology.org/repositories/3/resources/51" TargetMode="External"/><Relationship Id="rId3" Type="http://schemas.openxmlformats.org/officeDocument/2006/relationships/settings" Target="settings.xml"/><Relationship Id="rId7" Type="http://schemas.openxmlformats.org/officeDocument/2006/relationships/hyperlink" Target="https://www2.archivists.org/sites/all/files/Guidelines%20for%20Primary%20Souce%20Literacy%20-%20FinalVersion%20-%20Summer2017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mrobyns@nmu.edu</dc:creator>
  <cp:keywords/>
  <dc:description/>
  <cp:lastModifiedBy>mrobyns@nmu.edu</cp:lastModifiedBy>
  <cp:revision>5</cp:revision>
  <dcterms:created xsi:type="dcterms:W3CDTF">2020-07-16T18:56:00Z</dcterms:created>
  <dcterms:modified xsi:type="dcterms:W3CDTF">2020-09-04T16:05:00Z</dcterms:modified>
</cp:coreProperties>
</file>